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5E393B" w14:textId="77777777" w:rsidR="001754FE" w:rsidRPr="004130D5" w:rsidRDefault="001754FE" w:rsidP="001754FE">
      <w:pPr>
        <w:spacing w:after="0"/>
        <w:jc w:val="center"/>
        <w:rPr>
          <w:rFonts w:ascii="IRPooya" w:hAnsi="IRPooya" w:cs="B Titr"/>
          <w:b/>
          <w:bCs/>
          <w:color w:val="000000" w:themeColor="text1"/>
          <w:sz w:val="24"/>
          <w:szCs w:val="24"/>
          <w:rtl/>
        </w:rPr>
      </w:pPr>
      <w:r w:rsidRPr="004130D5">
        <w:rPr>
          <w:rFonts w:ascii="IRPooya" w:hAnsi="IRPooya" w:cs="B Titr" w:hint="cs"/>
          <w:b/>
          <w:bCs/>
          <w:color w:val="000000" w:themeColor="text1"/>
          <w:sz w:val="24"/>
          <w:szCs w:val="24"/>
          <w:rtl/>
        </w:rPr>
        <w:t xml:space="preserve">«مدل بهینه منابع در قالب ذخیره ارزش و جریان نقدینگی و تعادل بین آنها </w:t>
      </w:r>
    </w:p>
    <w:p w14:paraId="1F111254" w14:textId="220E36EF" w:rsidR="001754FE" w:rsidRPr="004130D5" w:rsidRDefault="001754FE" w:rsidP="004130D5">
      <w:pPr>
        <w:spacing w:after="240"/>
        <w:jc w:val="center"/>
        <w:rPr>
          <w:rFonts w:ascii="IRPooya" w:hAnsi="IRPooya" w:cs="B Titr"/>
          <w:b/>
          <w:bCs/>
          <w:color w:val="000000" w:themeColor="text1"/>
          <w:sz w:val="24"/>
          <w:szCs w:val="24"/>
        </w:rPr>
      </w:pPr>
      <w:r w:rsidRPr="004130D5">
        <w:rPr>
          <w:rFonts w:ascii="IRPooya" w:hAnsi="IRPooya" w:cs="B Titr" w:hint="cs"/>
          <w:b/>
          <w:bCs/>
          <w:color w:val="000000" w:themeColor="text1"/>
          <w:sz w:val="24"/>
          <w:szCs w:val="24"/>
          <w:rtl/>
        </w:rPr>
        <w:t>در شرکت‏های تابعه صندوق بازنشستگی کشوری»</w:t>
      </w:r>
    </w:p>
    <w:p w14:paraId="2508797C" w14:textId="77777777" w:rsidR="001754FE" w:rsidRDefault="001754FE" w:rsidP="001754FE">
      <w:pPr>
        <w:spacing w:line="276" w:lineRule="auto"/>
        <w:rPr>
          <w:sz w:val="26"/>
          <w:rtl/>
        </w:rPr>
      </w:pPr>
      <w:r>
        <w:rPr>
          <w:rFonts w:hint="cs"/>
          <w:sz w:val="26"/>
          <w:rtl/>
        </w:rPr>
        <w:t>یکی از بزرگ‏ترین معضلات شرکت‏ها را شاید بتوان برقراری توازنی مطلوب بین ذخیرۀ ارزش و جریان نقدینگی دانست. از یک طرف، هزینۀ (معاملاتی) تامین منابع مالی خارج از شرکت برای حفظ یا افزایش ذخیرۀ ارزش ممکن است به دلایلی همچون شرایط پرنوسان و متغیر اقتصادی، در دسترس یا به‏موقع نبودن منابع مالی بیرونی و عدم‏تقارن اطلاعاتی افراد درون و خارج از شرکت، بسیار بالا باشد. در چنین شرایطی نگهداری وجه نقد می‏تواند دو منفعت اصلی برای شرکت داشته باشد: 1) در دسترس بودن وجه نقد و 2) کاهش اتکا به تامین مالی بیرونی گران در جهت رفع نیازهای برآمده از فعالیت‏های عادی و مقابله با شرایط غیرمنتظره. از طرف دیگر، اما، نگهداری وجه نقد خود می‏تواند مشمول هزینۀ فرصت شود. سرمایه‏گذاری در دارایی‏های نقدی و بازده عموماً کمتر آنها نسبت به سایر دارایی‏ها، هزینه فرصت ازدست‏رفته به شرکت‏ها تحمیل می‏کند. این هزینه به‏ویژه اگر شرکت از سرمایه‏گذاری‏های سودآورتر صرف‏نظر کرده باشد، بسیار بیشتر خواهد بود. نگهداری دارایی‏های نقدی زیاد همچنین می‏تواند منجر به افزایش تضادهای نمایندگی بین مدیران و سهام‏داران شود.</w:t>
      </w:r>
      <w:r>
        <w:rPr>
          <w:rStyle w:val="FootnoteReference"/>
          <w:sz w:val="26"/>
          <w:rtl/>
        </w:rPr>
        <w:footnoteReference w:id="1"/>
      </w:r>
      <w:r>
        <w:rPr>
          <w:rFonts w:hint="cs"/>
          <w:sz w:val="26"/>
          <w:rtl/>
        </w:rPr>
        <w:t xml:space="preserve"> در چنین شرایطی برقراری توازن بین هزینه‏ها و منافع نگهداشت دارایی‏های نقد و یافتن سطح بهینۀ ذخیرۀ ارزش و جریان نقدینگی می‏تواند هم ارزش شرکت را حداکثر کند و هم توانایی مواجهۀ آن با رخدادهای پیش‏بینی‏نشده در بازار را افزایش دهد.</w:t>
      </w:r>
    </w:p>
    <w:p w14:paraId="51295340" w14:textId="77777777" w:rsidR="001754FE" w:rsidRDefault="001754FE" w:rsidP="001754FE">
      <w:pPr>
        <w:spacing w:line="276" w:lineRule="auto"/>
        <w:rPr>
          <w:sz w:val="26"/>
          <w:rtl/>
        </w:rPr>
      </w:pPr>
      <w:r>
        <w:rPr>
          <w:rFonts w:hint="cs"/>
          <w:sz w:val="26"/>
          <w:rtl/>
        </w:rPr>
        <w:t>براین‏اساس، این پژوهش دستیابی به دو موضوع زیر در شرکت‏های تابعۀ صندوق بازنشستگی کشوری را پیگیری می‏کند:</w:t>
      </w:r>
    </w:p>
    <w:p w14:paraId="396BA9D9" w14:textId="77777777" w:rsidR="001754FE" w:rsidRPr="00EC692C" w:rsidRDefault="001754FE" w:rsidP="001754FE">
      <w:pPr>
        <w:pStyle w:val="ListParagraph"/>
        <w:numPr>
          <w:ilvl w:val="0"/>
          <w:numId w:val="7"/>
        </w:numPr>
        <w:bidi/>
        <w:spacing w:line="276" w:lineRule="auto"/>
        <w:jc w:val="both"/>
        <w:rPr>
          <w:rFonts w:cs="B Mitra"/>
          <w:sz w:val="26"/>
          <w:szCs w:val="26"/>
          <w:rtl/>
        </w:rPr>
      </w:pPr>
      <w:r w:rsidRPr="00EC692C">
        <w:rPr>
          <w:rFonts w:cs="B Mitra" w:hint="cs"/>
          <w:sz w:val="26"/>
          <w:szCs w:val="26"/>
          <w:rtl/>
        </w:rPr>
        <w:t>سطح بهینۀ نگهداشت وجه نقد که بیشترین ارزش را برای شرکت‏ها به همراه داشته باشد</w:t>
      </w:r>
    </w:p>
    <w:p w14:paraId="725FBD60" w14:textId="02B0B732" w:rsidR="001754FE" w:rsidRDefault="001754FE" w:rsidP="001754FE">
      <w:pPr>
        <w:pStyle w:val="ListParagraph"/>
        <w:numPr>
          <w:ilvl w:val="0"/>
          <w:numId w:val="7"/>
        </w:numPr>
        <w:bidi/>
        <w:spacing w:line="276" w:lineRule="auto"/>
        <w:jc w:val="both"/>
        <w:rPr>
          <w:rFonts w:cs="B Mitra"/>
          <w:sz w:val="26"/>
          <w:szCs w:val="26"/>
        </w:rPr>
      </w:pPr>
      <w:r w:rsidRPr="00EC692C">
        <w:rPr>
          <w:rFonts w:cs="B Mitra" w:hint="cs"/>
          <w:sz w:val="26"/>
          <w:szCs w:val="26"/>
          <w:rtl/>
        </w:rPr>
        <w:t xml:space="preserve">تاثیر انحرافات از سطح بهینۀ وجه نقد نگهداری‏شده بر ارزش شرکت‏ها </w:t>
      </w:r>
    </w:p>
    <w:p w14:paraId="5070A4EC" w14:textId="5ABB16E6" w:rsidR="008432FE" w:rsidRDefault="008432FE" w:rsidP="008432FE">
      <w:pPr>
        <w:pStyle w:val="ListParagraph"/>
        <w:numPr>
          <w:ilvl w:val="0"/>
          <w:numId w:val="7"/>
        </w:numPr>
        <w:bidi/>
        <w:spacing w:line="276" w:lineRule="auto"/>
        <w:jc w:val="both"/>
        <w:rPr>
          <w:rFonts w:cs="B Mitra"/>
          <w:sz w:val="26"/>
          <w:szCs w:val="26"/>
        </w:rPr>
      </w:pPr>
      <w:r>
        <w:rPr>
          <w:rFonts w:cs="B Mitra" w:hint="cs"/>
          <w:sz w:val="26"/>
          <w:szCs w:val="26"/>
          <w:rtl/>
        </w:rPr>
        <w:t>ریسک‏های ناشی از کمبود نقدینگی</w:t>
      </w:r>
    </w:p>
    <w:p w14:paraId="7FDD3E59" w14:textId="2E292637" w:rsidR="002967AD" w:rsidRPr="00337A4E" w:rsidRDefault="008432FE" w:rsidP="00337A4E">
      <w:pPr>
        <w:pStyle w:val="ListParagraph"/>
        <w:numPr>
          <w:ilvl w:val="0"/>
          <w:numId w:val="7"/>
        </w:numPr>
        <w:bidi/>
        <w:spacing w:line="276" w:lineRule="auto"/>
        <w:jc w:val="both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>مقایسۀ هزینه فرصت‏های نگهداشت نقدینگی با سرمایه‏گذاری‏های جایگزین</w:t>
      </w:r>
    </w:p>
    <w:p w14:paraId="6A0060F7" w14:textId="77777777" w:rsidR="00C02D68" w:rsidRPr="006C2EAA" w:rsidRDefault="00C02D68" w:rsidP="006C2EAA">
      <w:pPr>
        <w:rPr>
          <w:sz w:val="26"/>
          <w:rtl/>
          <w:lang w:bidi="fa-IR"/>
        </w:rPr>
      </w:pPr>
    </w:p>
    <w:p w14:paraId="1E4C6671" w14:textId="77777777" w:rsidR="006C2EAA" w:rsidRPr="006C2EAA" w:rsidRDefault="006C2EAA" w:rsidP="006C2EAA">
      <w:pPr>
        <w:rPr>
          <w:sz w:val="26"/>
          <w:lang w:bidi="fa-IR"/>
        </w:rPr>
      </w:pPr>
    </w:p>
    <w:p w14:paraId="12841180" w14:textId="77777777" w:rsidR="003C18C1" w:rsidRPr="003C18C1" w:rsidRDefault="003C18C1" w:rsidP="003C18C1">
      <w:pPr>
        <w:ind w:left="353"/>
        <w:rPr>
          <w:sz w:val="26"/>
          <w:rtl/>
        </w:rPr>
      </w:pPr>
    </w:p>
    <w:sectPr w:rsidR="003C18C1" w:rsidRPr="003C18C1" w:rsidSect="00E444EF">
      <w:headerReference w:type="even" r:id="rId8"/>
      <w:headerReference w:type="default" r:id="rId9"/>
      <w:footerReference w:type="default" r:id="rId10"/>
      <w:headerReference w:type="first" r:id="rId11"/>
      <w:footnotePr>
        <w:numRestart w:val="eachPage"/>
      </w:footnotePr>
      <w:pgSz w:w="12240" w:h="15840"/>
      <w:pgMar w:top="2036" w:right="1440" w:bottom="1440" w:left="1440" w:header="737" w:footer="22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C1E63A" w14:textId="77777777" w:rsidR="000A3591" w:rsidRDefault="000A3591" w:rsidP="000A3591">
      <w:pPr>
        <w:spacing w:after="0" w:line="240" w:lineRule="auto"/>
      </w:pPr>
      <w:r>
        <w:separator/>
      </w:r>
    </w:p>
  </w:endnote>
  <w:endnote w:type="continuationSeparator" w:id="0">
    <w:p w14:paraId="1FC7B56A" w14:textId="77777777" w:rsidR="000A3591" w:rsidRDefault="000A3591" w:rsidP="000A3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Pooya">
    <w:altName w:val="Arial"/>
    <w:charset w:val="00"/>
    <w:family w:val="auto"/>
    <w:pitch w:val="variable"/>
    <w:sig w:usb0="00002003" w:usb1="00000000" w:usb2="00000000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tl/>
      </w:rPr>
      <w:id w:val="-1846698682"/>
      <w:docPartObj>
        <w:docPartGallery w:val="Page Numbers (Bottom of Page)"/>
        <w:docPartUnique/>
      </w:docPartObj>
    </w:sdtPr>
    <w:sdtEndPr>
      <w:rPr>
        <w:noProof/>
        <w:sz w:val="16"/>
        <w:szCs w:val="20"/>
      </w:rPr>
    </w:sdtEndPr>
    <w:sdtContent>
      <w:p w14:paraId="5ECB8902" w14:textId="4EB9E63B" w:rsidR="000A3591" w:rsidRDefault="000A359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695F83">
          <w:rPr>
            <w:noProof/>
            <w:rtl/>
            <w:lang w:bidi="ar-IQ"/>
          </w:rPr>
          <w:t>2</w:t>
        </w:r>
        <w:r>
          <w:rPr>
            <w:noProof/>
          </w:rPr>
          <w:fldChar w:fldCharType="end"/>
        </w:r>
      </w:p>
    </w:sdtContent>
  </w:sdt>
  <w:p w14:paraId="44177FE5" w14:textId="77777777" w:rsidR="000A3591" w:rsidRDefault="000A35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5C4D80" w14:textId="77777777" w:rsidR="000A3591" w:rsidRDefault="000A3591" w:rsidP="000A3591">
      <w:pPr>
        <w:spacing w:after="0" w:line="240" w:lineRule="auto"/>
      </w:pPr>
      <w:r>
        <w:separator/>
      </w:r>
    </w:p>
  </w:footnote>
  <w:footnote w:type="continuationSeparator" w:id="0">
    <w:p w14:paraId="404C7635" w14:textId="77777777" w:rsidR="000A3591" w:rsidRDefault="000A3591" w:rsidP="000A3591">
      <w:pPr>
        <w:spacing w:after="0" w:line="240" w:lineRule="auto"/>
      </w:pPr>
      <w:r>
        <w:continuationSeparator/>
      </w:r>
    </w:p>
  </w:footnote>
  <w:footnote w:id="1">
    <w:p w14:paraId="5DF0FA05" w14:textId="77777777" w:rsidR="001754FE" w:rsidRPr="00B87E18" w:rsidRDefault="001754FE" w:rsidP="001754FE">
      <w:pPr>
        <w:pStyle w:val="FootnoteText"/>
        <w:bidi/>
        <w:jc w:val="both"/>
        <w:rPr>
          <w:rFonts w:cs="B Mitra"/>
          <w:rtl/>
        </w:rPr>
      </w:pPr>
      <w:r w:rsidRPr="00B87E18">
        <w:rPr>
          <w:rStyle w:val="FootnoteReference"/>
          <w:rFonts w:cs="B Mitra"/>
        </w:rPr>
        <w:footnoteRef/>
      </w:r>
      <w:r w:rsidRPr="00B87E18">
        <w:rPr>
          <w:rFonts w:cs="B Mitra" w:hint="cs"/>
          <w:rtl/>
        </w:rPr>
        <w:t xml:space="preserve">. برگرفته از مقالۀ زیر: </w:t>
      </w:r>
    </w:p>
    <w:p w14:paraId="00B46C42" w14:textId="7711A83A" w:rsidR="001754FE" w:rsidRPr="00B87E18" w:rsidRDefault="001754FE" w:rsidP="001754FE">
      <w:pPr>
        <w:pStyle w:val="FootnoteText"/>
        <w:bidi/>
        <w:jc w:val="both"/>
        <w:rPr>
          <w:rFonts w:cs="B Mitra"/>
          <w:rtl/>
          <w:lang w:bidi="fa-IR"/>
        </w:rPr>
      </w:pPr>
      <w:r w:rsidRPr="00B87E18">
        <w:rPr>
          <w:rFonts w:cs="B Mitra" w:hint="cs"/>
          <w:rtl/>
        </w:rPr>
        <w:t>اسدی، غلامحسین و بهاره باغدار (</w:t>
      </w:r>
      <w:r w:rsidR="00243AC3">
        <w:rPr>
          <w:rFonts w:cs="B Mitra" w:hint="cs"/>
          <w:rtl/>
        </w:rPr>
        <w:t>1394</w:t>
      </w:r>
      <w:r w:rsidRPr="00B87E18">
        <w:rPr>
          <w:rFonts w:cs="B Mitra" w:hint="cs"/>
          <w:rtl/>
        </w:rPr>
        <w:t>)؛ تاثری سطح بیهنۀ وجه نقد نگهداری‏شده بر ارزش شرکت‏های پذیرفته‏شده در بورس اوراق بهادار تهران؛ دانش حسابرسی، شمارۀ 61</w:t>
      </w:r>
      <w:r w:rsidR="00243AC3">
        <w:rPr>
          <w:rFonts w:cs="B Mitra" w:hint="cs"/>
          <w:rtl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D2DA8" w14:textId="50D2CA42" w:rsidR="00452352" w:rsidRDefault="00337A4E">
    <w:pPr>
      <w:pStyle w:val="Header"/>
    </w:pPr>
    <w:r>
      <w:rPr>
        <w:noProof/>
      </w:rPr>
      <w:pict w14:anchorId="41A631F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714797" o:spid="_x0000_s2050" type="#_x0000_t75" style="position:absolute;left:0;text-align:left;margin-left:0;margin-top:0;width:468pt;height:591.4pt;z-index:-251657216;mso-position-horizontal:center;mso-position-horizontal-relative:margin;mso-position-vertical:center;mso-position-vertical-relative:margin" o:allowincell="f">
          <v:imagedata r:id="rId1" o:title="logo new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bidiVisual/>
      <w:tblW w:w="9350" w:type="dxa"/>
      <w:tblInd w:w="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7"/>
      <w:gridCol w:w="1983"/>
    </w:tblGrid>
    <w:tr w:rsidR="000A3591" w14:paraId="16787260" w14:textId="77777777" w:rsidTr="00C65880">
      <w:trPr>
        <w:cantSplit/>
        <w:trHeight w:val="74"/>
      </w:trPr>
      <w:tc>
        <w:tcPr>
          <w:tcW w:w="7367" w:type="dxa"/>
          <w:vAlign w:val="center"/>
        </w:tcPr>
        <w:p w14:paraId="6BA80756" w14:textId="450557EA" w:rsidR="000A3591" w:rsidRPr="000A3591" w:rsidRDefault="000A3591" w:rsidP="000A3591">
          <w:pPr>
            <w:pStyle w:val="Header"/>
            <w:jc w:val="left"/>
            <w:rPr>
              <w:rFonts w:cs="B Traffic"/>
              <w:rtl/>
              <w:lang w:bidi="fa-IR"/>
            </w:rPr>
          </w:pPr>
          <w:r w:rsidRPr="000A3591">
            <w:rPr>
              <w:rFonts w:cs="B Traffic" w:hint="cs"/>
              <w:sz w:val="16"/>
              <w:szCs w:val="20"/>
              <w:rtl/>
              <w:lang w:bidi="fa-IR"/>
            </w:rPr>
            <w:t>اولویت‏های پژوهشی موسسه راهبردهای بازنشستگی صبا در سال 1399</w:t>
          </w:r>
        </w:p>
      </w:tc>
      <w:tc>
        <w:tcPr>
          <w:tcW w:w="1983" w:type="dxa"/>
          <w:vAlign w:val="center"/>
        </w:tcPr>
        <w:p w14:paraId="282E6228" w14:textId="16D23850" w:rsidR="000A3591" w:rsidRDefault="000A3591" w:rsidP="000A3591">
          <w:pPr>
            <w:pStyle w:val="Header"/>
            <w:jc w:val="right"/>
            <w:rPr>
              <w:rtl/>
            </w:rPr>
          </w:pPr>
          <w:r>
            <w:rPr>
              <w:noProof/>
            </w:rPr>
            <w:drawing>
              <wp:inline distT="0" distB="0" distL="0" distR="0" wp14:anchorId="19C70060" wp14:editId="42D0FA46">
                <wp:extent cx="381467" cy="481415"/>
                <wp:effectExtent l="0" t="0" r="0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2600" cy="4954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5A0195E" w14:textId="1FD7074E" w:rsidR="000A3591" w:rsidRDefault="00337A4E" w:rsidP="000A3591">
    <w:pPr>
      <w:pStyle w:val="Header"/>
      <w:tabs>
        <w:tab w:val="clear" w:pos="4680"/>
      </w:tabs>
    </w:pPr>
    <w:r>
      <w:rPr>
        <w:noProof/>
      </w:rPr>
      <w:pict w14:anchorId="173FEE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714798" o:spid="_x0000_s2051" type="#_x0000_t75" style="position:absolute;left:0;text-align:left;margin-left:0;margin-top:0;width:468pt;height:591.4pt;z-index:-251656192;mso-position-horizontal:center;mso-position-horizontal-relative:margin;mso-position-vertical:center;mso-position-vertical-relative:margin" o:allowincell="f">
          <v:imagedata r:id="rId2" o:title="logo new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C25567" w14:textId="3F17BBAE" w:rsidR="00452352" w:rsidRDefault="00337A4E">
    <w:pPr>
      <w:pStyle w:val="Header"/>
    </w:pPr>
    <w:r>
      <w:rPr>
        <w:noProof/>
      </w:rPr>
      <w:pict w14:anchorId="0C87C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714796" o:spid="_x0000_s2049" type="#_x0000_t75" style="position:absolute;left:0;text-align:left;margin-left:0;margin-top:0;width:468pt;height:591.4pt;z-index:-251658240;mso-position-horizontal:center;mso-position-horizontal-relative:margin;mso-position-vertical:center;mso-position-vertical-relative:margin" o:allowincell="f">
          <v:imagedata r:id="rId1" o:title="logo new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D5FBD"/>
    <w:multiLevelType w:val="hybridMultilevel"/>
    <w:tmpl w:val="4426F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A4F6D"/>
    <w:multiLevelType w:val="hybridMultilevel"/>
    <w:tmpl w:val="9AAAEF94"/>
    <w:lvl w:ilvl="0" w:tplc="04090001">
      <w:start w:val="1"/>
      <w:numFmt w:val="bullet"/>
      <w:lvlText w:val=""/>
      <w:lvlJc w:val="left"/>
      <w:pPr>
        <w:ind w:left="9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9" w:hanging="360"/>
      </w:pPr>
      <w:rPr>
        <w:rFonts w:ascii="Wingdings" w:hAnsi="Wingdings" w:hint="default"/>
      </w:rPr>
    </w:lvl>
  </w:abstractNum>
  <w:abstractNum w:abstractNumId="2" w15:restartNumberingAfterBreak="0">
    <w:nsid w:val="356B11FB"/>
    <w:multiLevelType w:val="hybridMultilevel"/>
    <w:tmpl w:val="DBF84498"/>
    <w:lvl w:ilvl="0" w:tplc="04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3" w15:restartNumberingAfterBreak="0">
    <w:nsid w:val="3928766D"/>
    <w:multiLevelType w:val="hybridMultilevel"/>
    <w:tmpl w:val="1234D44E"/>
    <w:lvl w:ilvl="0" w:tplc="04090001">
      <w:start w:val="1"/>
      <w:numFmt w:val="bullet"/>
      <w:lvlText w:val=""/>
      <w:lvlJc w:val="left"/>
      <w:pPr>
        <w:ind w:left="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4" w15:restartNumberingAfterBreak="0">
    <w:nsid w:val="50510032"/>
    <w:multiLevelType w:val="hybridMultilevel"/>
    <w:tmpl w:val="7B2CB73C"/>
    <w:lvl w:ilvl="0" w:tplc="0409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5" w15:restartNumberingAfterBreak="0">
    <w:nsid w:val="72033264"/>
    <w:multiLevelType w:val="hybridMultilevel"/>
    <w:tmpl w:val="06A444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714A78"/>
    <w:multiLevelType w:val="hybridMultilevel"/>
    <w:tmpl w:val="57A606F8"/>
    <w:lvl w:ilvl="0" w:tplc="A3847114">
      <w:start w:val="1"/>
      <w:numFmt w:val="decimal"/>
      <w:lvlText w:val="%1."/>
      <w:lvlJc w:val="left"/>
      <w:pPr>
        <w:ind w:left="1080" w:hanging="360"/>
      </w:pPr>
      <w:rPr>
        <w:rFonts w:cs="B Traffic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F484B43"/>
    <w:multiLevelType w:val="hybridMultilevel"/>
    <w:tmpl w:val="38C65958"/>
    <w:lvl w:ilvl="0" w:tplc="04090003">
      <w:start w:val="1"/>
      <w:numFmt w:val="bullet"/>
      <w:lvlText w:val="o"/>
      <w:lvlJc w:val="left"/>
      <w:pPr>
        <w:ind w:left="95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7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B8A"/>
    <w:rsid w:val="00004FC1"/>
    <w:rsid w:val="00012C4D"/>
    <w:rsid w:val="00016592"/>
    <w:rsid w:val="000275E2"/>
    <w:rsid w:val="00032784"/>
    <w:rsid w:val="000455C8"/>
    <w:rsid w:val="00052AAD"/>
    <w:rsid w:val="0007725C"/>
    <w:rsid w:val="00093BDF"/>
    <w:rsid w:val="0009766B"/>
    <w:rsid w:val="000A3591"/>
    <w:rsid w:val="000D2002"/>
    <w:rsid w:val="00154991"/>
    <w:rsid w:val="001754FE"/>
    <w:rsid w:val="001768B8"/>
    <w:rsid w:val="001B0D7B"/>
    <w:rsid w:val="001C4A17"/>
    <w:rsid w:val="001D3F20"/>
    <w:rsid w:val="00223589"/>
    <w:rsid w:val="00243AC3"/>
    <w:rsid w:val="002967AD"/>
    <w:rsid w:val="002B0B0A"/>
    <w:rsid w:val="00337A4E"/>
    <w:rsid w:val="003950D9"/>
    <w:rsid w:val="003C18C1"/>
    <w:rsid w:val="004130D5"/>
    <w:rsid w:val="00445A6A"/>
    <w:rsid w:val="00452352"/>
    <w:rsid w:val="004B732D"/>
    <w:rsid w:val="00522AAA"/>
    <w:rsid w:val="00553FC8"/>
    <w:rsid w:val="00676AB2"/>
    <w:rsid w:val="00695F83"/>
    <w:rsid w:val="006C2EAA"/>
    <w:rsid w:val="006E780B"/>
    <w:rsid w:val="00763070"/>
    <w:rsid w:val="008432FE"/>
    <w:rsid w:val="008908E0"/>
    <w:rsid w:val="008A1F93"/>
    <w:rsid w:val="008A7469"/>
    <w:rsid w:val="008C3498"/>
    <w:rsid w:val="008D2054"/>
    <w:rsid w:val="008D7700"/>
    <w:rsid w:val="00963C22"/>
    <w:rsid w:val="00981B8A"/>
    <w:rsid w:val="00994E5C"/>
    <w:rsid w:val="00A061E6"/>
    <w:rsid w:val="00A52F6E"/>
    <w:rsid w:val="00A64A9E"/>
    <w:rsid w:val="00A7631A"/>
    <w:rsid w:val="00A816C6"/>
    <w:rsid w:val="00AB5832"/>
    <w:rsid w:val="00B36845"/>
    <w:rsid w:val="00B47E51"/>
    <w:rsid w:val="00B72E05"/>
    <w:rsid w:val="00B74136"/>
    <w:rsid w:val="00C02D68"/>
    <w:rsid w:val="00C05F87"/>
    <w:rsid w:val="00C65880"/>
    <w:rsid w:val="00C6769B"/>
    <w:rsid w:val="00C9559A"/>
    <w:rsid w:val="00C95D96"/>
    <w:rsid w:val="00CB3676"/>
    <w:rsid w:val="00D36D14"/>
    <w:rsid w:val="00D415CE"/>
    <w:rsid w:val="00D85D46"/>
    <w:rsid w:val="00E034A4"/>
    <w:rsid w:val="00E3783A"/>
    <w:rsid w:val="00E444EF"/>
    <w:rsid w:val="00F00ABB"/>
    <w:rsid w:val="00F6143C"/>
    <w:rsid w:val="00F6603C"/>
    <w:rsid w:val="00F77BED"/>
    <w:rsid w:val="00F94B2F"/>
    <w:rsid w:val="00FB25FA"/>
    <w:rsid w:val="00FC2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454579C0"/>
  <w15:chartTrackingRefBased/>
  <w15:docId w15:val="{611720BA-A565-429C-A063-B7A702D49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5D96"/>
    <w:pPr>
      <w:bidi/>
      <w:jc w:val="both"/>
    </w:pPr>
    <w:rPr>
      <w:rFonts w:cs="B Mitra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6592"/>
    <w:pPr>
      <w:bidi w:val="0"/>
      <w:ind w:left="720"/>
      <w:contextualSpacing/>
      <w:jc w:val="left"/>
    </w:pPr>
    <w:rPr>
      <w:rFonts w:cstheme="minorBidi"/>
      <w:szCs w:val="22"/>
    </w:rPr>
  </w:style>
  <w:style w:type="paragraph" w:styleId="Header">
    <w:name w:val="header"/>
    <w:basedOn w:val="Normal"/>
    <w:link w:val="HeaderChar"/>
    <w:uiPriority w:val="99"/>
    <w:unhideWhenUsed/>
    <w:rsid w:val="000A35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3591"/>
    <w:rPr>
      <w:rFonts w:cs="B Mitra"/>
      <w:szCs w:val="26"/>
    </w:rPr>
  </w:style>
  <w:style w:type="paragraph" w:styleId="Footer">
    <w:name w:val="footer"/>
    <w:basedOn w:val="Normal"/>
    <w:link w:val="FooterChar"/>
    <w:uiPriority w:val="99"/>
    <w:unhideWhenUsed/>
    <w:rsid w:val="000A35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3591"/>
    <w:rPr>
      <w:rFonts w:cs="B Mitra"/>
      <w:szCs w:val="26"/>
    </w:rPr>
  </w:style>
  <w:style w:type="table" w:styleId="TableGrid">
    <w:name w:val="Table Grid"/>
    <w:basedOn w:val="TableNormal"/>
    <w:uiPriority w:val="39"/>
    <w:rsid w:val="000A35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C18C1"/>
    <w:pPr>
      <w:bidi w:val="0"/>
      <w:spacing w:after="0" w:line="240" w:lineRule="auto"/>
      <w:jc w:val="left"/>
    </w:pPr>
    <w:rPr>
      <w:rFonts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18C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18C1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F6143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514DA-D3D9-44BD-9909-55C0C27E0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</dc:creator>
  <cp:keywords/>
  <dc:description/>
  <cp:lastModifiedBy>رضا میرزا ابراهیمی</cp:lastModifiedBy>
  <cp:revision>2</cp:revision>
  <dcterms:created xsi:type="dcterms:W3CDTF">2020-06-15T10:57:00Z</dcterms:created>
  <dcterms:modified xsi:type="dcterms:W3CDTF">2020-06-15T10:57:00Z</dcterms:modified>
</cp:coreProperties>
</file>